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Министерство науки и высшего образования Российской Федерации</w:t>
      </w:r>
    </w:p>
    <w:p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Федеральное государственное автономное образовательное учреждение высшего образования</w:t>
      </w:r>
    </w:p>
    <w:p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«Уральский федеральный университет имени первого Президента России Б. Н. Ельцина»</w:t>
      </w:r>
    </w:p>
    <w:p>
      <w:pPr>
        <w:spacing w:after="20" w:before="160"/>
        <w:jc w:val="right"/>
      </w:pPr>
      <w:r>
        <w:rPr>
          <w:b/>
          <w:bCs/>
          <w:sz w:val="20"/>
          <w:szCs w:val="20"/>
        </w:rPr>
        <w:t xml:space="preserve">УТВЕРЖДАЮ</w:t>
      </w:r>
    </w:p>
    <w:p>
      <w:pPr>
        <w:jc w:val="right"/>
      </w:pPr>
      <w:r>
        <w:rPr>
          <w:sz w:val="18"/>
          <w:szCs w:val="18"/>
        </w:rPr>
        <w:t xml:space="preserve">Проректор по образовательной деятельности</w:t>
      </w:r>
    </w:p>
    <w:p>
      <w:pPr>
        <w:spacing w:after="20"/>
        <w:jc w:val="right"/>
      </w:pPr>
      <w:r>
        <w:rPr>
          <w:sz w:val="18"/>
          <w:szCs w:val="18"/>
        </w:rPr>
        <w:t xml:space="preserve">___________________  О. В. Обухов</w:t>
      </w:r>
    </w:p>
    <w:p>
      <w:pPr>
        <w:spacing w:after="200"/>
        <w:jc w:val="right"/>
      </w:pPr>
      <w:r>
        <w:rPr>
          <w:sz w:val="18"/>
          <w:szCs w:val="18"/>
        </w:rPr>
        <w:t xml:space="preserve">«___» _________________ 20___ г.</w:t>
      </w:r>
    </w:p>
    <w:p>
      <w:pPr>
        <w:spacing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РАБОЧАЯ ПРОГРАММА ДИСЦИПЛИНЫ</w:t>
      </w:r>
    </w:p>
    <w:p>
      <w:pPr>
        <w:spacing w:after="6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Грамотность в области ИИ</w:t>
      </w:r>
    </w:p>
    <w:p>
      <w:pPr>
        <w:pBdr>
          <w:bottom w:val="single" w:color="CCCCCC" w:sz="6" w:space="8"/>
        </w:pBdr>
        <w:spacing w:after="40"/>
        <w:jc w:val="center"/>
      </w:pPr>
      <w:r>
        <w:rPr>
          <w:sz w:val="20"/>
          <w:szCs w:val="20"/>
        </w:rPr>
        <w:t xml:space="preserve">Обязательная дисциплина · 2 семестр · 3 ЗЕ / 108 ак. ч</w:t>
      </w:r>
    </w:p>
    <w:p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Екатеринбург</w:t>
      </w:r>
    </w:p>
    <w:p>
      <w:pPr>
        <w:spacing w:after="20" w:before="120"/>
      </w:pPr>
      <w:r>
        <w:rPr>
          <w:sz w:val="18"/>
          <w:szCs w:val="18"/>
        </w:rPr>
        <w:t xml:space="preserve">Рабочая программа дисциплины составлена авторами: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200"/>
        <w:gridCol w:w="1600"/>
        <w:gridCol w:w="2400"/>
        <w:gridCol w:w="1838"/>
      </w:tblGrid>
      <w:tr>
        <w:trPr>
          <w:tblHeader/>
        </w:trPr>
        <w:tc>
          <w:tcPr>
            <w:tcW w:type="dxa" w:w="6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32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Фамилия Имя Отчество</w:t>
            </w:r>
          </w:p>
        </w:tc>
        <w:tc>
          <w:tcPr>
            <w:tcW w:type="dxa" w:w="16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Учёная степень, звание</w:t>
            </w:r>
          </w:p>
        </w:tc>
        <w:tc>
          <w:tcPr>
            <w:tcW w:type="dxa" w:w="24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Должность</w:t>
            </w:r>
          </w:p>
        </w:tc>
        <w:tc>
          <w:tcPr>
            <w:tcW w:type="dxa" w:w="1838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Подразделение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Денисов Дмитрий Викторович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к.э.н.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Директор ШПиАО</w:t>
            </w:r>
          </w:p>
        </w:tc>
        <w:tc>
          <w:tcPr>
            <w:tcW w:type="dxa" w:w="18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ИРИТ-РТФ УрФУ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Фадеев Виталий Олегович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Зам. директора по проектной деятельности</w:t>
            </w:r>
          </w:p>
        </w:tc>
        <w:tc>
          <w:tcPr>
            <w:tcW w:type="dxa" w:w="18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ИРИТ-РТФ УрФУ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Скуматенко Илья Олегович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Преподаватель</w:t>
            </w:r>
          </w:p>
        </w:tc>
        <w:tc>
          <w:tcPr>
            <w:tcW w:type="dxa" w:w="18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ИРИТ-РТФ УрФУ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Харисов Азамат Робертович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к.т.н., доцент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Доцент</w:t>
            </w:r>
          </w:p>
        </w:tc>
        <w:tc>
          <w:tcPr>
            <w:tcW w:type="dxa" w:w="18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Департамент ИТ и автоматики УрФУ</w:t>
            </w:r>
          </w:p>
        </w:tc>
      </w:tr>
    </w:tbl>
    <w:p>
      <w:pPr>
        <w:spacing w:before="120"/>
      </w:pPr>
      <w:r>
        <w:rPr>
          <w:sz w:val="18"/>
          <w:szCs w:val="18"/>
        </w:rPr>
        <w:t xml:space="preserve">Согласовано: Управление образовательных программ ________________</w:t>
      </w:r>
    </w:p>
    <w:p>
      <w:pPr>
        <w:spacing w:after="40" w:before="80"/>
      </w:pPr>
      <w:r>
        <w:rPr>
          <w:sz w:val="18"/>
          <w:szCs w:val="18"/>
        </w:rPr>
        <w:t xml:space="preserve">Рекомендовано учебно-методическим советом. Протокол № ___ от «___» ________ 20___ г.</w:t>
      </w:r>
    </w:p>
    <w:p>
      <w:pPr>
        <w:spacing w:after="120" w:before="300"/>
      </w:pPr>
      <w:r>
        <w:rPr>
          <w:b/>
          <w:bCs/>
          <w:sz w:val="24"/>
          <w:szCs w:val="24"/>
        </w:rPr>
        <w:t xml:space="preserve">1. СОДЕРЖАНИЕ И ОСОБЕННОСТИ РЕАЛИЗАЦИИ ДИСЦИПЛИНЫ</w:t>
      </w:r>
    </w:p>
    <w:p>
      <w:pPr>
        <w:spacing w:after="100"/>
      </w:pPr>
      <w:r>
        <w:t xml:space="preserve">Аннотация. Дисциплина «Грамотность в области ИИ» относится к обязательной части образовательной программы и осваивается всеми студентами первого года обучения во 2 семестре. Предмет дисциплины — переносимая способность продуктивно, критически и ответственно действовать и учиться в среде, где ИИ доступен почти постоянно, но остаётся ограниченным, вероятностным и меняющимся. Дисциплина строится не от перечня тем, а от типовых ситуаций работы с ИИ; базовые понятия и терминология вводятся сквозным образом.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1.1. Технологии реализации, используемые при изучении дисциплины</w:t>
      </w:r>
    </w:p>
    <w:p>
      <w:pPr>
        <w:spacing w:after="40"/>
      </w:pPr>
      <w:r>
        <w:t xml:space="preserve">Смешанная модель обучения с использованием онлайн-курса УрФУ (образовательная платформа ai-native-university.ru): асинхронный онлайн-контур, семинары и компьютерные лабораторные работы. Разноуровневое (дифференцированное) обучение: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18"/>
          <w:szCs w:val="18"/>
        </w:rPr>
        <w:t xml:space="preserve">Базовый уровень — сохраняет логику предмета и обеспечивает верное и полное базовое представление; no-code инструменты и разбор схем.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18"/>
          <w:szCs w:val="18"/>
        </w:rPr>
        <w:t xml:space="preserve">Продвинутый уровень — углубляет содержание и глубину проработки (API, retrieval, агенты) по результатам входной диагностики.</w:t>
      </w:r>
    </w:p>
    <w:p>
      <w:pPr>
        <w:spacing w:after="100"/>
      </w:pPr>
      <w:r>
        <w:t xml:space="preserve">Распределение объёма: 16 ч онлайн-асинхрон · 8 ч семинары · 8 ч компьютерные лабораторные · 72 ч самостоятельная работа · 4 ч зачёт. Порог освоения — уровень 2 по каждому результату обучения: самостоятельное действие на новом низко- или умеренно рискованном кейсе с переносом; при высокой цене ошибки — остановиться, минимизировать данные и обратиться к уполномоченному лицу.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1.2. Содержание дисциплины</w:t>
      </w:r>
    </w:p>
    <w:p>
      <w:pPr>
        <w:spacing w:after="4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Таблица 1.1. Разделы и темы дисциплины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200"/>
        <w:gridCol w:w="5338"/>
      </w:tblGrid>
      <w:tr>
        <w:trPr>
          <w:tblHeader/>
        </w:trPr>
        <w:tc>
          <w:tcPr>
            <w:tcW w:type="dxa" w:w="11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Код раздела</w:t>
            </w:r>
          </w:p>
        </w:tc>
        <w:tc>
          <w:tcPr>
            <w:tcW w:type="dxa" w:w="32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Раздел, тема</w:t>
            </w:r>
          </w:p>
        </w:tc>
        <w:tc>
          <w:tcPr>
            <w:tcW w:type="dxa" w:w="5338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Содержание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Р.0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Введение, правила курса и входная диагностика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Где ИИ уже участвует в учебных и цифровых процессах. Различение готового продукта и собственного обучения. Входная диагностика компонентов ИИ-грамотности и выбор уровня поддержки.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Р.1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Как устроены ИИ-системы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Путь от данных через обучение и параметры к результату (target/train/inference — на интуитивном уровне). Различение модели, приложения, поиска, инструмента и агента. Вероятностность и ограничения контекста; почему уверенный ответ может быть ложным. Термины вводятся по ходу.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Р.2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Выбор режима ИИ, цель и распределение работы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Цель, адресат и критерий готовности до выбора инструмента. Режимы «запрещён / разрешён / обязателен / не нужен». Декомпозиция задачи и делегирование между человеком, ИИ, командой и экспертом. Цена ошибки, остановка и эскалация.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Р.3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Контекст и способы взаимодействия с ИИ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Минимально достаточный и безопасный контекст: факты, предположения, неизвестное; данные, недоступные модели; чувствительные данные. Форма результата и критерии проверки. Роли ИИ (объяснитель, оппонент, критик, генератор, тренажёр, редактор). Накопление контекста между сессиями.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Р.4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Проверка результатов и обоснованное решение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Тип утверждения (факт / интерпретация / гипотеза / рекомендация) и критерии качества. Источники, цитаты, независимое подтверждение; выявление выдуманных источников. Тестовые и контрпримерные случаи; соразмерность глубины проверки цене ошибки; доведение ответа до верного.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Р.5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Как учиться с ИИ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Результат, самостоятельная способность и иллюзия понимания. Собственная попытка и дозированная помощь. Самостоятельная реконструкция способа и перенос на новый случай без готовой подсказки.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Р.6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Ответственность и безопасность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Защита данных, приватность и минимизация. Академическая честность, происхождение материалов, авторство и раскрытие вклада ИИ. Затронутые стороны, предвзятость и человеческий контроль. Безопасность агентных систем (минимальные права, подтверждение, остановка). Инфобезопасность — сквозная.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Р.7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Создание результата, сотрудничество и передача работы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Замысел, варианты и человеческий отбор. Версии, авторский выбор и происхождение результата. Командные роли и передача работы пакетом без пересылки полного диалога.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Р.8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Контекстная лабораторная работа «человек — ИИ — мир»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Наблюдение, интервью, измерение и внешние свидетельства. Контекстные лабораторные работы (текст и коммуникация / данные и модели / проектирование решений в реальной среде). Проектирование и тестирование рабочего процесса с ИИ (экономика: токены, лимиты, рентабельность).</w:t>
            </w:r>
          </w:p>
        </w:tc>
      </w:tr>
      <w:tr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Р.9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Итоговый проект. Связка с курсом «ИИ в профессиональной сфере»</w:t>
            </w:r>
          </w:p>
        </w:tc>
        <w:tc>
          <w:tcPr>
            <w:tcW w:type="dxa" w:w="53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Полный цикл работы с ИИ на реальной задаче и защищённое индивидуальное подтверждение результатов. Адаптация способа работы к новому контексту. Переход к обязательному курсу «ИИ в профессиональной сфере».</w:t>
            </w:r>
          </w:p>
        </w:tc>
      </w:tr>
    </w:tbl>
    <w:p>
      <w:pPr>
        <w:spacing w:after="40" w:before="16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Таблица 1.2. Планируемые результаты обучения по дисциплине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Компетенция</w:t>
            </w:r>
          </w:p>
        </w:tc>
        <w:tc>
          <w:tcPr>
            <w:tcW w:type="dxa" w:w="6438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Результаты обучения (знать / уметь / владеть)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СГК-4. Точность коммуникации в цифровой среде</w:t>
            </w:r>
          </w:p>
        </w:tc>
        <w:tc>
          <w:tcPr>
            <w:tcW w:type="dxa" w:w="64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З: возможности, ограничения и риски генеративных ИИ-инструментов для работы с текстом; критерии достоверности и уместности; правила указания использования ИИ.</w:t>
            </w:r>
          </w:p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У: использовать генеративный ИИ для подготовки и адаптации сообщения с критической проверкой достоверности.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В: опыт решения коммуникативной задачи с ИИ с оценкой качества и корректным указанием использования ИИ.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СГК-7. Системный анализ</w:t>
            </w:r>
          </w:p>
        </w:tc>
        <w:tc>
          <w:tcPr>
            <w:tcW w:type="dxa" w:w="64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З: принципы взаимодействия людей, данных, алгоритмов, сервисов и институтов в цифровой среде.</w:t>
            </w:r>
          </w:p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У: анализировать цифровую или человеко-машинную ситуацию как систему.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В: опыт анализа цифрового кейса с учётом данных, алгоритмов, пользователей, норм и ограничений.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СГК-9. Модели</w:t>
            </w:r>
          </w:p>
        </w:tc>
        <w:tc>
          <w:tcPr>
            <w:tcW w:type="dxa" w:w="64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З: принципы построения и использования цифровых, алгоритмических и информационных моделей; ограничения моделей ИИ.</w:t>
            </w:r>
          </w:p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У: использовать модели, данные и цифровые инструменты для объяснения, прогнозирования или анализа.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В: опыт работы с цифровой/алгоритмической моделью с учётом её возможностей и ограничений.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СГК-11. Этика, право, ответственность</w:t>
            </w:r>
          </w:p>
        </w:tc>
        <w:tc>
          <w:tcPr>
            <w:tcW w:type="dxa" w:w="64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З: этические, правовые и социальные риски ИИ (ПДн, добросовестность, авторство, предвзятость, ответственность).</w:t>
            </w:r>
          </w:p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У: выявлять этико-правовые риски, соблюдать академическую добросовестность, корректно указывать использование ИИ.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В: опыт ответственного использования ИИ: проверка достоверности, защита ПДн, прозрачное указание ИИ.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ОПК-2. ИТ и информационная безопасность</w:t>
            </w:r>
          </w:p>
        </w:tc>
        <w:tc>
          <w:tcPr>
            <w:tcW w:type="dxa" w:w="64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З: принципы работы современных информационных систем.</w:t>
            </w:r>
          </w:p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У: использовать современные ИТ при решении задач с учётом требований информационной безопасности.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В: опыт обоснования выбора ИТ для решения задач.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ОПК-3. Работа с информацией</w:t>
            </w:r>
          </w:p>
        </w:tc>
        <w:tc>
          <w:tcPr>
            <w:tcW w:type="dxa" w:w="64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З: базовые методики поиска, анализа и систематизации информации.</w:t>
            </w:r>
          </w:p>
          <w:p>
            <w:pPr>
              <w:spacing w:after="20"/>
            </w:pPr>
            <w:r>
              <w:rPr>
                <w:b w:val="false"/>
                <w:bCs w:val="false"/>
                <w:sz w:val="18"/>
                <w:szCs w:val="18"/>
              </w:rPr>
              <w:t xml:space="preserve">У: осуществлять поиск, обработку, анализ и систематизацию информации из различных источников и баз данных.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В: опыт интерпретации результатов обработки информационных массивов.</w:t>
            </w:r>
          </w:p>
        </w:tc>
      </w:tr>
    </w:tbl>
    <w:p>
      <w:pPr>
        <w:spacing w:before="120"/>
      </w:pPr>
      <w:r>
        <w:t xml:space="preserve">Программа дисциплины реализуется на государственном языке Российской Федерации.</w:t>
      </w:r>
    </w:p>
    <w:p>
      <w:pPr>
        <w:spacing w:after="120" w:before="300"/>
      </w:pPr>
      <w:r>
        <w:rPr>
          <w:b/>
          <w:bCs/>
          <w:sz w:val="24"/>
          <w:szCs w:val="24"/>
        </w:rPr>
        <w:t xml:space="preserve">2. УЧЕБНО-МЕТОДИЧЕСКОЕ И ИНФОРМАЦИОННОЕ ОБЕСПЕЧЕНИЕ ДИСЦИПЛИНЫ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Образовательная платформа и инструменты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18"/>
          <w:szCs w:val="18"/>
        </w:rPr>
        <w:t xml:space="preserve">Образовательная платформа курса — ai-native-university.ru (ИРИТ-РТФ УрФУ): лекции, самопроверки, практика со сдачей работ и обратной связью преподавателя.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18"/>
          <w:szCs w:val="18"/>
        </w:rPr>
        <w:t xml:space="preserve">Генеративные ИИ-сервисы для практики: открытая модель (DeepSeek) и отечественные решения (YandexGPT, GigaChat); конкретный перечень доступа уточняется на этапе запуска.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sz w:val="18"/>
          <w:szCs w:val="18"/>
        </w:rPr>
        <w:t xml:space="preserve">No-code инструменты для разметки данных, построения визуализаций и схем рабочих процессов.</w:t>
      </w:r>
    </w:p>
    <w:p>
      <w:pPr>
        <w:spacing w:after="80" w:before="200"/>
      </w:pPr>
      <w:r>
        <w:rPr>
          <w:b/>
          <w:bCs/>
          <w:sz w:val="22"/>
          <w:szCs w:val="22"/>
        </w:rPr>
        <w:t xml:space="preserve">Электронные ресурсы и базы данных</w:t>
      </w:r>
    </w:p>
    <w:p>
      <w:pPr>
        <w:spacing w:after="60"/>
      </w:pPr>
      <w:r>
        <w:t xml:space="preserve">Перечень изданий, электронных ресурсов и профессиональных баз данных формируется на этапе РПД в соответствии с требованиями УрФУ (ЭБС, openedu.ru, справочно-правовые системы). Для лиц с ОВЗ материалы предоставляются в адаптированных форматах.</w:t>
      </w:r>
    </w:p>
    <w:p>
      <w:pPr>
        <w:spacing w:after="120" w:before="300"/>
      </w:pPr>
      <w:r>
        <w:rPr>
          <w:b/>
          <w:bCs/>
          <w:sz w:val="24"/>
          <w:szCs w:val="24"/>
        </w:rPr>
        <w:t xml:space="preserve">3. МАТЕРИАЛЬНО-ТЕХНИЧЕСКОЕ ОБЕСПЕЧЕНИЕ ДИСЦИПЛИНЫ</w:t>
      </w:r>
    </w:p>
    <w:p>
      <w:pPr>
        <w:spacing w:after="4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Таблица 3.1. Сведения об оснащённости дисциплины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3400"/>
        <w:gridCol w:w="3038"/>
      </w:tblGrid>
      <w:tr>
        <w:trPr>
          <w:tblHeader/>
        </w:trPr>
        <w:tc>
          <w:tcPr>
            <w:tcW w:type="dxa" w:w="6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26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Виды занятий</w:t>
            </w:r>
          </w:p>
        </w:tc>
        <w:tc>
          <w:tcPr>
            <w:tcW w:type="dxa" w:w="3400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Оснащённость</w:t>
            </w:r>
          </w:p>
        </w:tc>
        <w:tc>
          <w:tcPr>
            <w:tcW w:type="dxa" w:w="3038"/>
            <w:shd w:fill="EDEDED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Перечень ПО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Онлайн-асинхрон, самостоятельная работа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Персональное устройство с выходом в интернет</w:t>
            </w:r>
          </w:p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Веб-браузер; образовательная платформа курса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Семинары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Учебная аудитория с проектором</w:t>
            </w:r>
          </w:p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Веб-браузер; доступ к ИИ-сервисам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Компьютерные лабораторные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Компьютерный класс с выходом в интернет</w:t>
            </w:r>
          </w:p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Веб-браузер; ИИ-сервисы; no-code инструменты; офисный пакет</w:t>
            </w:r>
          </w:p>
        </w:tc>
      </w:tr>
    </w:tbl>
    <w:p>
      <w:pPr>
        <w:spacing w:before="240"/>
      </w:pPr>
      <w:r>
        <w:rPr>
          <w:i/>
          <w:iCs/>
          <w:color w:val="666666"/>
          <w:sz w:val="17"/>
          <w:szCs w:val="17"/>
        </w:rPr>
        <w:t xml:space="preserve">Примечание. Формальные поля (часы по РУП, фонд оценочных средств, полный список литературы, протоколы согласования) заполняются в официальном шаблоне РПД УрФУ. Настоящая версия — содержательный черновик v0.1 по образцам РПД УрФУ.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>
      <w:pPr>
        <w:spacing w:after="80" w:line="264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ИРИТ-РТФ УрФУ</dc:creator>
  <cp:lastModifiedBy>Un-named</cp:lastModifiedBy>
  <cp:revision>1</cp:revision>
  <dcterms:created xsi:type="dcterms:W3CDTF">2026-07-28T03:06:37.745Z</dcterms:created>
  <dcterms:modified xsi:type="dcterms:W3CDTF">2026-07-28T03:06:37.753Z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